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AE8D" w14:textId="62E43993" w:rsidR="000F0903" w:rsidRDefault="00A14190" w:rsidP="00776416">
      <w:pPr>
        <w:pStyle w:val="Title"/>
      </w:pPr>
      <w:r w:rsidRPr="00776416">
        <w:rPr>
          <w:noProof/>
        </w:rPr>
        <w:drawing>
          <wp:anchor distT="0" distB="0" distL="114300" distR="114300" simplePos="0" relativeHeight="251659264" behindDoc="1" locked="0" layoutInCell="1" allowOverlap="1" wp14:anchorId="4D372F50" wp14:editId="3A582A0D">
            <wp:simplePos x="0" y="0"/>
            <wp:positionH relativeFrom="column">
              <wp:posOffset>-236220</wp:posOffset>
            </wp:positionH>
            <wp:positionV relativeFrom="paragraph">
              <wp:posOffset>-838835</wp:posOffset>
            </wp:positionV>
            <wp:extent cx="4467225" cy="1363980"/>
            <wp:effectExtent l="0" t="0" r="0" b="0"/>
            <wp:wrapNone/>
            <wp:docPr id="8" name="Picture 8" descr="C:\Users\djshirey\OneDrive - University of Phoenix\F_Drive\Style Guides\UPX Logos\Horizontal format\UOPX_Sig_Hor_Black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1363980"/>
                    </a:xfrm>
                    <a:prstGeom prst="rect">
                      <a:avLst/>
                    </a:prstGeom>
                    <a:noFill/>
                    <a:ln>
                      <a:noFill/>
                    </a:ln>
                  </pic:spPr>
                </pic:pic>
              </a:graphicData>
            </a:graphic>
          </wp:anchor>
        </w:drawing>
      </w:r>
      <w:r w:rsidR="008B5FA8">
        <w:rPr>
          <w:noProof/>
        </w:rPr>
        <w:t>Exploring Organized Crime</w:t>
      </w:r>
    </w:p>
    <w:p w14:paraId="0CB57857" w14:textId="60184B47" w:rsidR="008B5FA8" w:rsidRPr="00122DC6" w:rsidRDefault="008B5FA8" w:rsidP="008B5FA8">
      <w:r w:rsidRPr="00122DC6">
        <w:rPr>
          <w:b/>
        </w:rPr>
        <w:t>Use</w:t>
      </w:r>
      <w:r w:rsidRPr="00122DC6">
        <w:t xml:space="preserve"> </w:t>
      </w:r>
      <w:r w:rsidR="00A0741B">
        <w:t>your</w:t>
      </w:r>
      <w:r w:rsidR="00A0741B" w:rsidRPr="00122DC6">
        <w:t xml:space="preserve"> </w:t>
      </w:r>
      <w:r w:rsidRPr="00122DC6">
        <w:t>textbook</w:t>
      </w:r>
      <w:r w:rsidR="00A0741B">
        <w:t xml:space="preserve">, </w:t>
      </w:r>
      <w:r w:rsidR="00A0741B" w:rsidRPr="00354476">
        <w:rPr>
          <w:i/>
        </w:rPr>
        <w:t>Organized Crime</w:t>
      </w:r>
      <w:r w:rsidR="00A0741B">
        <w:t xml:space="preserve"> (11th ed.),</w:t>
      </w:r>
      <w:r w:rsidRPr="00122DC6">
        <w:t xml:space="preserve"> and outside research to complete each section of this worksheet.</w:t>
      </w:r>
    </w:p>
    <w:p w14:paraId="433CE4C6" w14:textId="77777777" w:rsidR="008B5FA8" w:rsidRPr="00122DC6" w:rsidRDefault="008B5FA8" w:rsidP="0094409D">
      <w:pPr>
        <w:pStyle w:val="Heading3"/>
      </w:pPr>
      <w:r w:rsidRPr="00122DC6">
        <w:t>Section 1: Organized Crime Groups</w:t>
      </w:r>
    </w:p>
    <w:p w14:paraId="5708BE9E" w14:textId="72B88A1A" w:rsidR="008B5FA8" w:rsidRPr="008B5FA8" w:rsidRDefault="008B5FA8" w:rsidP="008B5FA8">
      <w:r w:rsidRPr="00122DC6">
        <w:t>Outlaw Motorcycle groups in the United States have captured the imagination of the American public as well as the attention of law enforcement at the local and federal level.</w:t>
      </w:r>
    </w:p>
    <w:p w14:paraId="0585A285" w14:textId="1F0CD1D7" w:rsidR="008B5FA8" w:rsidRPr="00122DC6" w:rsidRDefault="008B5FA8" w:rsidP="008B5FA8">
      <w:r w:rsidRPr="00122DC6">
        <w:rPr>
          <w:b/>
        </w:rPr>
        <w:t xml:space="preserve">Complete </w:t>
      </w:r>
      <w:r w:rsidRPr="00122DC6">
        <w:t xml:space="preserve">the following chart by comparing and contrasting each of the listed groups. </w:t>
      </w:r>
      <w:r w:rsidRPr="00354476">
        <w:t>Include</w:t>
      </w:r>
      <w:r w:rsidRPr="00122DC6">
        <w:t xml:space="preserve"> the origin of each group, the areas of the </w:t>
      </w:r>
      <w:r w:rsidR="0094409D">
        <w:t xml:space="preserve">United States </w:t>
      </w:r>
      <w:r w:rsidRPr="00122DC6">
        <w:t xml:space="preserve"> in which these groups operate, their business interests, colors and patches, their structure, the requirements for joining each group, and any rituals associated with each group.</w:t>
      </w:r>
    </w:p>
    <w:tbl>
      <w:tblPr>
        <w:tblStyle w:val="TableGrid"/>
        <w:tblW w:w="10615" w:type="dxa"/>
        <w:tblLayout w:type="fixed"/>
        <w:tblLook w:val="04A0" w:firstRow="1" w:lastRow="0" w:firstColumn="1" w:lastColumn="0" w:noHBand="0" w:noVBand="1"/>
        <w:tblDescription w:val="organized crime table"/>
      </w:tblPr>
      <w:tblGrid>
        <w:gridCol w:w="2395"/>
        <w:gridCol w:w="2033"/>
        <w:gridCol w:w="1890"/>
        <w:gridCol w:w="1890"/>
        <w:gridCol w:w="2407"/>
      </w:tblGrid>
      <w:tr w:rsidR="008B5FA8" w:rsidRPr="00122DC6" w14:paraId="059160B6" w14:textId="77777777" w:rsidTr="008038A5">
        <w:trPr>
          <w:trHeight w:val="305"/>
        </w:trPr>
        <w:tc>
          <w:tcPr>
            <w:tcW w:w="2395" w:type="dxa"/>
            <w:shd w:val="clear" w:color="auto" w:fill="EDEDED" w:themeFill="accent5"/>
          </w:tcPr>
          <w:p w14:paraId="06ABDA8A" w14:textId="77777777" w:rsidR="008B5FA8" w:rsidRPr="00122DC6" w:rsidRDefault="008B5FA8" w:rsidP="001B7130">
            <w:pPr>
              <w:jc w:val="center"/>
              <w:rPr>
                <w:rFonts w:cs="Arial"/>
                <w:b/>
                <w:szCs w:val="20"/>
              </w:rPr>
            </w:pPr>
            <w:r w:rsidRPr="00122DC6">
              <w:rPr>
                <w:rFonts w:cs="Arial"/>
                <w:b/>
                <w:szCs w:val="20"/>
              </w:rPr>
              <w:t>Categories</w:t>
            </w:r>
          </w:p>
        </w:tc>
        <w:tc>
          <w:tcPr>
            <w:tcW w:w="2033" w:type="dxa"/>
            <w:shd w:val="clear" w:color="auto" w:fill="EDEDED" w:themeFill="accent5"/>
          </w:tcPr>
          <w:p w14:paraId="09EB9CAE" w14:textId="49DADFED" w:rsidR="008B5FA8" w:rsidRPr="00122DC6" w:rsidRDefault="008B5FA8" w:rsidP="001B7130">
            <w:pPr>
              <w:jc w:val="center"/>
              <w:rPr>
                <w:rFonts w:cs="Arial"/>
                <w:b/>
                <w:szCs w:val="20"/>
              </w:rPr>
            </w:pPr>
            <w:r w:rsidRPr="00122DC6">
              <w:rPr>
                <w:rFonts w:cs="Arial"/>
                <w:b/>
                <w:szCs w:val="20"/>
              </w:rPr>
              <w:t>Hells Angels</w:t>
            </w:r>
          </w:p>
        </w:tc>
        <w:tc>
          <w:tcPr>
            <w:tcW w:w="1890" w:type="dxa"/>
            <w:shd w:val="clear" w:color="auto" w:fill="EDEDED" w:themeFill="accent5"/>
          </w:tcPr>
          <w:p w14:paraId="2EE669B2" w14:textId="0D5466B9" w:rsidR="008B5FA8" w:rsidRPr="00122DC6" w:rsidRDefault="008B5FA8" w:rsidP="001B7130">
            <w:pPr>
              <w:jc w:val="center"/>
              <w:rPr>
                <w:rFonts w:cs="Arial"/>
                <w:b/>
                <w:szCs w:val="20"/>
              </w:rPr>
            </w:pPr>
            <w:r w:rsidRPr="00122DC6">
              <w:rPr>
                <w:rFonts w:cs="Arial"/>
                <w:b/>
                <w:szCs w:val="20"/>
              </w:rPr>
              <w:t>Pagan</w:t>
            </w:r>
            <w:r w:rsidR="00DF4142">
              <w:rPr>
                <w:rFonts w:cs="Arial"/>
                <w:b/>
                <w:szCs w:val="20"/>
              </w:rPr>
              <w:t>’</w:t>
            </w:r>
            <w:r w:rsidRPr="00122DC6">
              <w:rPr>
                <w:rFonts w:cs="Arial"/>
                <w:b/>
                <w:szCs w:val="20"/>
              </w:rPr>
              <w:t>s</w:t>
            </w:r>
          </w:p>
        </w:tc>
        <w:tc>
          <w:tcPr>
            <w:tcW w:w="1890" w:type="dxa"/>
            <w:shd w:val="clear" w:color="auto" w:fill="EDEDED" w:themeFill="accent5"/>
          </w:tcPr>
          <w:p w14:paraId="5871AB21" w14:textId="77777777" w:rsidR="008B5FA8" w:rsidRPr="00122DC6" w:rsidRDefault="008B5FA8" w:rsidP="001B7130">
            <w:pPr>
              <w:jc w:val="center"/>
              <w:rPr>
                <w:rFonts w:cs="Arial"/>
                <w:b/>
                <w:szCs w:val="20"/>
              </w:rPr>
            </w:pPr>
            <w:r w:rsidRPr="00122DC6">
              <w:rPr>
                <w:rFonts w:cs="Arial"/>
                <w:b/>
                <w:szCs w:val="20"/>
              </w:rPr>
              <w:t>Bandidos</w:t>
            </w:r>
          </w:p>
        </w:tc>
        <w:tc>
          <w:tcPr>
            <w:tcW w:w="2407" w:type="dxa"/>
            <w:shd w:val="clear" w:color="auto" w:fill="EDEDED" w:themeFill="accent5"/>
          </w:tcPr>
          <w:p w14:paraId="1BBEE62F" w14:textId="77777777" w:rsidR="008B5FA8" w:rsidRPr="00122DC6" w:rsidRDefault="008B5FA8" w:rsidP="001B7130">
            <w:pPr>
              <w:jc w:val="center"/>
              <w:rPr>
                <w:rFonts w:cs="Arial"/>
                <w:b/>
                <w:szCs w:val="20"/>
              </w:rPr>
            </w:pPr>
            <w:r w:rsidRPr="00122DC6">
              <w:rPr>
                <w:rFonts w:cs="Arial"/>
                <w:b/>
                <w:szCs w:val="20"/>
              </w:rPr>
              <w:t>Outlaws</w:t>
            </w:r>
          </w:p>
        </w:tc>
      </w:tr>
      <w:tr w:rsidR="008B5FA8" w:rsidRPr="00122DC6" w14:paraId="00920E53" w14:textId="77777777" w:rsidTr="008038A5">
        <w:trPr>
          <w:trHeight w:val="2008"/>
        </w:trPr>
        <w:tc>
          <w:tcPr>
            <w:tcW w:w="2395" w:type="dxa"/>
          </w:tcPr>
          <w:p w14:paraId="3537CC1B" w14:textId="77777777" w:rsidR="008B5FA8" w:rsidRPr="00122DC6" w:rsidRDefault="008B5FA8" w:rsidP="001B7130">
            <w:pPr>
              <w:jc w:val="center"/>
              <w:rPr>
                <w:rFonts w:cs="Arial"/>
                <w:b/>
                <w:szCs w:val="20"/>
              </w:rPr>
            </w:pPr>
            <w:bookmarkStart w:id="0" w:name="_Hlk73274685"/>
            <w:r w:rsidRPr="00122DC6">
              <w:rPr>
                <w:rFonts w:cs="Arial"/>
                <w:b/>
                <w:szCs w:val="20"/>
              </w:rPr>
              <w:t>History/Origins</w:t>
            </w:r>
          </w:p>
        </w:tc>
        <w:tc>
          <w:tcPr>
            <w:tcW w:w="2033" w:type="dxa"/>
          </w:tcPr>
          <w:p w14:paraId="389E052C"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Founded in 1948</w:t>
            </w:r>
          </w:p>
          <w:p w14:paraId="213928E7"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Fontana Area, San Bernardino, CA</w:t>
            </w:r>
          </w:p>
          <w:p w14:paraId="3B44FB91" w14:textId="77777777" w:rsidR="008B5FA8" w:rsidRPr="00122DC6" w:rsidRDefault="008B5FA8" w:rsidP="008B5FA8">
            <w:pPr>
              <w:pStyle w:val="ListParagraph"/>
              <w:numPr>
                <w:ilvl w:val="0"/>
                <w:numId w:val="4"/>
              </w:numPr>
              <w:spacing w:after="0"/>
              <w:rPr>
                <w:rFonts w:cs="Arial"/>
                <w:szCs w:val="20"/>
              </w:rPr>
            </w:pPr>
            <w:r w:rsidRPr="00122DC6">
              <w:rPr>
                <w:rFonts w:cs="Arial"/>
                <w:szCs w:val="20"/>
              </w:rPr>
              <w:t>1957 – HQ moved to  Oakland, CA</w:t>
            </w:r>
          </w:p>
        </w:tc>
        <w:tc>
          <w:tcPr>
            <w:tcW w:w="1890" w:type="dxa"/>
          </w:tcPr>
          <w:p w14:paraId="7276EE55" w14:textId="24B0475D" w:rsidR="008B5FA8" w:rsidRDefault="0071337A" w:rsidP="00BA6599">
            <w:pPr>
              <w:pStyle w:val="ListParagraph"/>
              <w:numPr>
                <w:ilvl w:val="0"/>
                <w:numId w:val="4"/>
              </w:numPr>
              <w:rPr>
                <w:rFonts w:cs="Arial"/>
                <w:szCs w:val="20"/>
              </w:rPr>
            </w:pPr>
            <w:r>
              <w:rPr>
                <w:rFonts w:cs="Arial"/>
                <w:szCs w:val="20"/>
              </w:rPr>
              <w:t>Founded</w:t>
            </w:r>
            <w:r w:rsidR="00BA6599">
              <w:rPr>
                <w:rFonts w:cs="Arial"/>
                <w:szCs w:val="20"/>
              </w:rPr>
              <w:t xml:space="preserve"> in 1959</w:t>
            </w:r>
          </w:p>
          <w:p w14:paraId="5D383B48" w14:textId="32A4F193" w:rsidR="00BA6599" w:rsidRDefault="00BA6599" w:rsidP="00BA6599">
            <w:pPr>
              <w:pStyle w:val="ListParagraph"/>
              <w:numPr>
                <w:ilvl w:val="0"/>
                <w:numId w:val="4"/>
              </w:numPr>
              <w:rPr>
                <w:rFonts w:cs="Arial"/>
                <w:szCs w:val="20"/>
              </w:rPr>
            </w:pPr>
            <w:r>
              <w:rPr>
                <w:rFonts w:cs="Arial"/>
                <w:szCs w:val="20"/>
              </w:rPr>
              <w:t>Prince George’s County, Maryland</w:t>
            </w:r>
            <w:r w:rsidR="0071337A">
              <w:rPr>
                <w:rFonts w:cs="Arial"/>
                <w:szCs w:val="20"/>
              </w:rPr>
              <w:t xml:space="preserve"> by Lou Dobkin</w:t>
            </w:r>
          </w:p>
          <w:p w14:paraId="6073AC49" w14:textId="5A27DB67" w:rsidR="00BA6599" w:rsidRPr="00BA6599" w:rsidRDefault="0071337A" w:rsidP="00BA6599">
            <w:pPr>
              <w:pStyle w:val="ListParagraph"/>
              <w:numPr>
                <w:ilvl w:val="0"/>
                <w:numId w:val="4"/>
              </w:numPr>
              <w:rPr>
                <w:rFonts w:cs="Arial"/>
                <w:szCs w:val="20"/>
              </w:rPr>
            </w:pPr>
            <w:r>
              <w:rPr>
                <w:rFonts w:cs="Arial"/>
                <w:szCs w:val="20"/>
              </w:rPr>
              <w:t>Began official organization in 1958</w:t>
            </w:r>
          </w:p>
        </w:tc>
        <w:tc>
          <w:tcPr>
            <w:tcW w:w="1890" w:type="dxa"/>
          </w:tcPr>
          <w:p w14:paraId="1E0BA338" w14:textId="77777777" w:rsidR="008B5FA8" w:rsidRDefault="003328DD" w:rsidP="008038A5">
            <w:pPr>
              <w:pStyle w:val="ListParagraph"/>
              <w:numPr>
                <w:ilvl w:val="0"/>
                <w:numId w:val="4"/>
              </w:numPr>
              <w:rPr>
                <w:rFonts w:cs="Arial"/>
                <w:szCs w:val="20"/>
              </w:rPr>
            </w:pPr>
            <w:r>
              <w:rPr>
                <w:rFonts w:cs="Arial"/>
                <w:szCs w:val="20"/>
              </w:rPr>
              <w:t>Founded in 1966</w:t>
            </w:r>
          </w:p>
          <w:p w14:paraId="593A5F78" w14:textId="77777777" w:rsidR="003328DD" w:rsidRDefault="003328DD" w:rsidP="008038A5">
            <w:pPr>
              <w:pStyle w:val="ListParagraph"/>
              <w:numPr>
                <w:ilvl w:val="0"/>
                <w:numId w:val="4"/>
              </w:numPr>
              <w:rPr>
                <w:rFonts w:cs="Arial"/>
                <w:szCs w:val="20"/>
              </w:rPr>
            </w:pPr>
            <w:r>
              <w:rPr>
                <w:rFonts w:cs="Arial"/>
                <w:szCs w:val="20"/>
              </w:rPr>
              <w:t xml:space="preserve">San Leon, Texas </w:t>
            </w:r>
          </w:p>
          <w:p w14:paraId="50A558B7" w14:textId="69BDF675" w:rsidR="003328DD" w:rsidRPr="008038A5" w:rsidRDefault="003328DD" w:rsidP="008038A5">
            <w:pPr>
              <w:pStyle w:val="ListParagraph"/>
              <w:numPr>
                <w:ilvl w:val="0"/>
                <w:numId w:val="4"/>
              </w:numPr>
              <w:rPr>
                <w:rFonts w:cs="Arial"/>
                <w:szCs w:val="20"/>
              </w:rPr>
            </w:pPr>
            <w:r>
              <w:rPr>
                <w:rFonts w:cs="Arial"/>
                <w:szCs w:val="20"/>
              </w:rPr>
              <w:t>HQ at Houston, founder being Donald Chambers</w:t>
            </w:r>
          </w:p>
        </w:tc>
        <w:tc>
          <w:tcPr>
            <w:tcW w:w="2407" w:type="dxa"/>
          </w:tcPr>
          <w:p w14:paraId="3AE7DFBA" w14:textId="77777777" w:rsidR="008B5FA8" w:rsidRDefault="00727152" w:rsidP="00727152">
            <w:pPr>
              <w:pStyle w:val="ListParagraph"/>
              <w:numPr>
                <w:ilvl w:val="0"/>
                <w:numId w:val="4"/>
              </w:numPr>
              <w:rPr>
                <w:rFonts w:cs="Arial"/>
                <w:szCs w:val="20"/>
              </w:rPr>
            </w:pPr>
            <w:r>
              <w:rPr>
                <w:rFonts w:cs="Arial"/>
                <w:szCs w:val="20"/>
              </w:rPr>
              <w:t>Founded in 1935</w:t>
            </w:r>
          </w:p>
          <w:p w14:paraId="3A467336" w14:textId="77777777" w:rsidR="00727152" w:rsidRDefault="00727152" w:rsidP="00727152">
            <w:pPr>
              <w:pStyle w:val="ListParagraph"/>
              <w:numPr>
                <w:ilvl w:val="0"/>
                <w:numId w:val="4"/>
              </w:numPr>
              <w:rPr>
                <w:rFonts w:cs="Arial"/>
                <w:szCs w:val="20"/>
              </w:rPr>
            </w:pPr>
            <w:r>
              <w:rPr>
                <w:rFonts w:cs="Arial"/>
                <w:szCs w:val="20"/>
              </w:rPr>
              <w:t>Mc Cook, Illinois</w:t>
            </w:r>
          </w:p>
          <w:p w14:paraId="72494968" w14:textId="71ABE73B" w:rsidR="00727152" w:rsidRPr="00727152" w:rsidRDefault="00D42A8E" w:rsidP="00727152">
            <w:pPr>
              <w:pStyle w:val="ListParagraph"/>
              <w:numPr>
                <w:ilvl w:val="0"/>
                <w:numId w:val="4"/>
              </w:numPr>
              <w:rPr>
                <w:rFonts w:cs="Arial"/>
                <w:szCs w:val="20"/>
              </w:rPr>
            </w:pPr>
            <w:r>
              <w:rPr>
                <w:rFonts w:cs="Arial"/>
                <w:szCs w:val="20"/>
              </w:rPr>
              <w:t>International president is John Ermin and their major rivals are the angels</w:t>
            </w:r>
          </w:p>
        </w:tc>
      </w:tr>
      <w:tr w:rsidR="008B5FA8" w:rsidRPr="00122DC6" w14:paraId="10F255CB" w14:textId="77777777" w:rsidTr="008038A5">
        <w:trPr>
          <w:trHeight w:val="2127"/>
        </w:trPr>
        <w:tc>
          <w:tcPr>
            <w:tcW w:w="2395" w:type="dxa"/>
          </w:tcPr>
          <w:p w14:paraId="7E3C3D39" w14:textId="3BBEA19B" w:rsidR="008B5FA8" w:rsidRPr="00122DC6" w:rsidRDefault="008B5FA8" w:rsidP="001B7130">
            <w:pPr>
              <w:jc w:val="center"/>
              <w:rPr>
                <w:rFonts w:cs="Arial"/>
                <w:b/>
                <w:szCs w:val="20"/>
              </w:rPr>
            </w:pPr>
            <w:r w:rsidRPr="00122DC6">
              <w:rPr>
                <w:rFonts w:cs="Arial"/>
                <w:b/>
                <w:szCs w:val="20"/>
              </w:rPr>
              <w:t>Geographic Area of Operations/Scope</w:t>
            </w:r>
          </w:p>
        </w:tc>
        <w:tc>
          <w:tcPr>
            <w:tcW w:w="2033" w:type="dxa"/>
          </w:tcPr>
          <w:p w14:paraId="6805A0F4" w14:textId="6878641B" w:rsidR="008B5FA8" w:rsidRPr="00A6255B" w:rsidRDefault="00A6255B" w:rsidP="00A6255B">
            <w:pPr>
              <w:pStyle w:val="ListParagraph"/>
              <w:numPr>
                <w:ilvl w:val="0"/>
                <w:numId w:val="22"/>
              </w:numPr>
              <w:rPr>
                <w:rFonts w:cs="Arial"/>
                <w:szCs w:val="20"/>
              </w:rPr>
            </w:pPr>
            <w:r>
              <w:rPr>
                <w:rFonts w:cs="Arial"/>
                <w:szCs w:val="20"/>
              </w:rPr>
              <w:t xml:space="preserve">Seventy-two chapters are active with thirty in the United States, in places such as California, Alaska, Kentucky, Minnesota, Ohio, and North and South Carolina </w:t>
            </w:r>
          </w:p>
        </w:tc>
        <w:tc>
          <w:tcPr>
            <w:tcW w:w="1890" w:type="dxa"/>
          </w:tcPr>
          <w:p w14:paraId="6AFDF0F4" w14:textId="11A1AA53" w:rsidR="008B5FA8" w:rsidRPr="00BA6599" w:rsidRDefault="0071337A" w:rsidP="0071337A">
            <w:pPr>
              <w:pStyle w:val="ListParagraph"/>
              <w:numPr>
                <w:ilvl w:val="0"/>
                <w:numId w:val="21"/>
              </w:numPr>
            </w:pPr>
            <w:r>
              <w:t>Delaware, Maryland, Kentucky, Ohio, Virginia, South Carolina, Connecticut, new York and North Carolina</w:t>
            </w:r>
          </w:p>
        </w:tc>
        <w:tc>
          <w:tcPr>
            <w:tcW w:w="1890" w:type="dxa"/>
          </w:tcPr>
          <w:p w14:paraId="061CD991" w14:textId="1C7B922C" w:rsidR="008B5FA8" w:rsidRPr="003328DD" w:rsidRDefault="003328DD" w:rsidP="003328DD">
            <w:pPr>
              <w:pStyle w:val="ListParagraph"/>
              <w:numPr>
                <w:ilvl w:val="0"/>
                <w:numId w:val="21"/>
              </w:numPr>
              <w:rPr>
                <w:rFonts w:cs="Arial"/>
                <w:szCs w:val="20"/>
              </w:rPr>
            </w:pPr>
            <w:r>
              <w:rPr>
                <w:rFonts w:cs="Arial"/>
                <w:szCs w:val="20"/>
              </w:rPr>
              <w:t xml:space="preserve">United States homes ninety-three chapters, concentration in Texas but expanding to Mississippi, Colorado, New Mexico, Utah, Oklahoma and Washington. Other expanses are in Asia and New Zealand. </w:t>
            </w:r>
          </w:p>
        </w:tc>
        <w:tc>
          <w:tcPr>
            <w:tcW w:w="2407" w:type="dxa"/>
          </w:tcPr>
          <w:p w14:paraId="45AD98D4" w14:textId="2F592A05" w:rsidR="008B5FA8" w:rsidRDefault="00D42A8E" w:rsidP="00D42A8E">
            <w:pPr>
              <w:pStyle w:val="ListParagraph"/>
              <w:numPr>
                <w:ilvl w:val="0"/>
                <w:numId w:val="21"/>
              </w:numPr>
              <w:rPr>
                <w:rFonts w:cs="Arial"/>
                <w:szCs w:val="20"/>
              </w:rPr>
            </w:pPr>
            <w:r>
              <w:rPr>
                <w:rFonts w:cs="Arial"/>
                <w:szCs w:val="20"/>
              </w:rPr>
              <w:t>In Canada,  twenty chapters in seven provinces are claimed by the club</w:t>
            </w:r>
          </w:p>
          <w:p w14:paraId="154956DC" w14:textId="4A71B1F8" w:rsidR="00D42A8E" w:rsidRDefault="00D42A8E" w:rsidP="00D42A8E">
            <w:pPr>
              <w:pStyle w:val="ListParagraph"/>
              <w:numPr>
                <w:ilvl w:val="0"/>
                <w:numId w:val="21"/>
              </w:numPr>
              <w:rPr>
                <w:rFonts w:cs="Arial"/>
                <w:szCs w:val="20"/>
              </w:rPr>
            </w:pPr>
            <w:r>
              <w:rPr>
                <w:rFonts w:cs="Arial"/>
                <w:szCs w:val="20"/>
              </w:rPr>
              <w:t>In wales and England, around thirty chapters are claimed</w:t>
            </w:r>
          </w:p>
          <w:p w14:paraId="1BD33704" w14:textId="264C20AF" w:rsidR="00D42A8E" w:rsidRPr="00D42A8E" w:rsidRDefault="00D42A8E" w:rsidP="00D42A8E">
            <w:pPr>
              <w:pStyle w:val="ListParagraph"/>
              <w:numPr>
                <w:ilvl w:val="0"/>
                <w:numId w:val="21"/>
              </w:numPr>
              <w:rPr>
                <w:rFonts w:cs="Arial"/>
                <w:szCs w:val="20"/>
              </w:rPr>
            </w:pPr>
            <w:r>
              <w:rPr>
                <w:rFonts w:cs="Arial"/>
                <w:szCs w:val="20"/>
              </w:rPr>
              <w:t xml:space="preserve">In New Zealand, chapters are claimed in cities of Christchurch, Blenheim and Napier. </w:t>
            </w:r>
          </w:p>
        </w:tc>
      </w:tr>
      <w:tr w:rsidR="008B5FA8" w:rsidRPr="00122DC6" w14:paraId="26924B11" w14:textId="77777777" w:rsidTr="008038A5">
        <w:trPr>
          <w:trHeight w:val="2008"/>
        </w:trPr>
        <w:tc>
          <w:tcPr>
            <w:tcW w:w="2395" w:type="dxa"/>
          </w:tcPr>
          <w:p w14:paraId="3BD20F35" w14:textId="3995E8CD" w:rsidR="008B5FA8" w:rsidRPr="00122DC6" w:rsidRDefault="008B5FA8" w:rsidP="001B7130">
            <w:pPr>
              <w:jc w:val="center"/>
              <w:rPr>
                <w:rFonts w:cs="Arial"/>
                <w:b/>
                <w:szCs w:val="20"/>
              </w:rPr>
            </w:pPr>
            <w:r w:rsidRPr="00122DC6">
              <w:rPr>
                <w:rFonts w:cs="Arial"/>
                <w:b/>
                <w:szCs w:val="20"/>
              </w:rPr>
              <w:lastRenderedPageBreak/>
              <w:t>Business/Criminal Interests</w:t>
            </w:r>
          </w:p>
        </w:tc>
        <w:tc>
          <w:tcPr>
            <w:tcW w:w="2033" w:type="dxa"/>
          </w:tcPr>
          <w:p w14:paraId="049E4285" w14:textId="58CDFD51" w:rsidR="008B5FA8" w:rsidRPr="00A6255B" w:rsidRDefault="008038A5" w:rsidP="00A6255B">
            <w:pPr>
              <w:pStyle w:val="ListParagraph"/>
              <w:numPr>
                <w:ilvl w:val="0"/>
                <w:numId w:val="21"/>
              </w:numPr>
              <w:rPr>
                <w:rFonts w:cs="Arial"/>
                <w:szCs w:val="20"/>
              </w:rPr>
            </w:pPr>
            <w:r>
              <w:rPr>
                <w:rFonts w:cs="Arial"/>
                <w:szCs w:val="20"/>
              </w:rPr>
              <w:t>Organized crime and violence, drug dealing, trafficking stolen goods, extortion and prostitution. They cover behind road trips, bike rallies and enthusiast bike riding.</w:t>
            </w:r>
          </w:p>
        </w:tc>
        <w:tc>
          <w:tcPr>
            <w:tcW w:w="1890" w:type="dxa"/>
          </w:tcPr>
          <w:p w14:paraId="466A88C3" w14:textId="17F87B75" w:rsidR="008B5FA8" w:rsidRPr="0071337A" w:rsidRDefault="0071337A" w:rsidP="0071337A">
            <w:pPr>
              <w:pStyle w:val="ListParagraph"/>
              <w:numPr>
                <w:ilvl w:val="0"/>
                <w:numId w:val="21"/>
              </w:numPr>
              <w:rPr>
                <w:rFonts w:cs="Arial"/>
                <w:szCs w:val="20"/>
              </w:rPr>
            </w:pPr>
            <w:r>
              <w:rPr>
                <w:rFonts w:cs="Arial"/>
                <w:szCs w:val="20"/>
              </w:rPr>
              <w:t>Smuggling and drug production, including cocaine, marijuana, methamphetamine, and heroin. Also vehicle theft, assault and trafficking weapons.</w:t>
            </w:r>
          </w:p>
        </w:tc>
        <w:tc>
          <w:tcPr>
            <w:tcW w:w="1890" w:type="dxa"/>
          </w:tcPr>
          <w:p w14:paraId="000D6D45" w14:textId="09D92746" w:rsidR="008B5FA8" w:rsidRPr="003328DD" w:rsidRDefault="003328DD" w:rsidP="003328DD">
            <w:pPr>
              <w:pStyle w:val="ListParagraph"/>
              <w:numPr>
                <w:ilvl w:val="0"/>
                <w:numId w:val="21"/>
              </w:numPr>
              <w:rPr>
                <w:rFonts w:cs="Arial"/>
                <w:szCs w:val="20"/>
              </w:rPr>
            </w:pPr>
            <w:r>
              <w:rPr>
                <w:rFonts w:cs="Arial"/>
                <w:szCs w:val="20"/>
              </w:rPr>
              <w:t>Money laundering, arms trafficking, prostitution, murder, drug dealing and extortion.</w:t>
            </w:r>
          </w:p>
        </w:tc>
        <w:tc>
          <w:tcPr>
            <w:tcW w:w="2407" w:type="dxa"/>
          </w:tcPr>
          <w:p w14:paraId="1E25AE09" w14:textId="1B1A1B2B" w:rsidR="008B5FA8" w:rsidRPr="00D42A8E" w:rsidRDefault="00D42A8E" w:rsidP="00D42A8E">
            <w:pPr>
              <w:pStyle w:val="ListParagraph"/>
              <w:numPr>
                <w:ilvl w:val="0"/>
                <w:numId w:val="21"/>
              </w:numPr>
              <w:rPr>
                <w:rFonts w:cs="Arial"/>
                <w:szCs w:val="20"/>
              </w:rPr>
            </w:pPr>
            <w:r>
              <w:rPr>
                <w:rFonts w:cs="Arial"/>
                <w:szCs w:val="20"/>
              </w:rPr>
              <w:t xml:space="preserve">Suspected dealing in drugs, paraphernalia, weapons and contraband. Members have been charged with weapon possession, murder, drug distribution and assault. </w:t>
            </w:r>
          </w:p>
        </w:tc>
      </w:tr>
      <w:tr w:rsidR="008B5FA8" w:rsidRPr="00122DC6" w14:paraId="6C8B08E7" w14:textId="77777777" w:rsidTr="008038A5">
        <w:trPr>
          <w:trHeight w:val="2127"/>
        </w:trPr>
        <w:tc>
          <w:tcPr>
            <w:tcW w:w="2395" w:type="dxa"/>
          </w:tcPr>
          <w:p w14:paraId="55568A57" w14:textId="77777777" w:rsidR="008B5FA8" w:rsidRPr="00122DC6" w:rsidRDefault="008B5FA8" w:rsidP="001B7130">
            <w:pPr>
              <w:jc w:val="center"/>
              <w:rPr>
                <w:rFonts w:cs="Arial"/>
                <w:b/>
                <w:szCs w:val="20"/>
              </w:rPr>
            </w:pPr>
            <w:bookmarkStart w:id="1" w:name="_GoBack" w:colFirst="5" w:colLast="5"/>
            <w:r w:rsidRPr="00122DC6">
              <w:rPr>
                <w:rFonts w:cs="Arial"/>
                <w:b/>
                <w:szCs w:val="20"/>
              </w:rPr>
              <w:t>Structure/Membership Requirements</w:t>
            </w:r>
          </w:p>
        </w:tc>
        <w:tc>
          <w:tcPr>
            <w:tcW w:w="2033" w:type="dxa"/>
          </w:tcPr>
          <w:p w14:paraId="74060A2A" w14:textId="4B5D4BC9" w:rsidR="008B5FA8" w:rsidRPr="008038A5" w:rsidRDefault="008038A5" w:rsidP="008038A5">
            <w:pPr>
              <w:pStyle w:val="ListParagraph"/>
              <w:numPr>
                <w:ilvl w:val="0"/>
                <w:numId w:val="23"/>
              </w:numPr>
              <w:rPr>
                <w:rFonts w:cs="Arial"/>
                <w:szCs w:val="20"/>
              </w:rPr>
            </w:pPr>
            <w:r>
              <w:rPr>
                <w:rFonts w:cs="Arial"/>
                <w:szCs w:val="20"/>
              </w:rPr>
              <w:t>Prospects must have valid driver’s licenses and over 750cc motorcycles. Exclusion is made for child molesters and people applying for law enforcement duties.</w:t>
            </w:r>
          </w:p>
        </w:tc>
        <w:tc>
          <w:tcPr>
            <w:tcW w:w="1890" w:type="dxa"/>
          </w:tcPr>
          <w:p w14:paraId="26C0CFF1" w14:textId="642593BC" w:rsidR="008B5FA8" w:rsidRPr="0071337A" w:rsidRDefault="0071337A" w:rsidP="0071337A">
            <w:pPr>
              <w:pStyle w:val="ListParagraph"/>
              <w:numPr>
                <w:ilvl w:val="0"/>
                <w:numId w:val="21"/>
              </w:numPr>
              <w:rPr>
                <w:rFonts w:cs="Arial"/>
                <w:szCs w:val="20"/>
              </w:rPr>
            </w:pPr>
            <w:r>
              <w:rPr>
                <w:rFonts w:cs="Arial"/>
                <w:szCs w:val="20"/>
              </w:rPr>
              <w:t>Membership age is limited to 21 years at least, additionally owning a Harley Davidson motorcycle, 1000 cc or higher engine capacity.</w:t>
            </w:r>
          </w:p>
        </w:tc>
        <w:tc>
          <w:tcPr>
            <w:tcW w:w="1890" w:type="dxa"/>
          </w:tcPr>
          <w:p w14:paraId="4DF60C91" w14:textId="76B99580" w:rsidR="008B5FA8" w:rsidRPr="003328DD" w:rsidRDefault="003328DD" w:rsidP="003328DD">
            <w:pPr>
              <w:pStyle w:val="ListParagraph"/>
              <w:numPr>
                <w:ilvl w:val="0"/>
                <w:numId w:val="21"/>
              </w:numPr>
              <w:rPr>
                <w:rFonts w:cs="Arial"/>
                <w:szCs w:val="20"/>
              </w:rPr>
            </w:pPr>
            <w:r>
              <w:rPr>
                <w:rFonts w:cs="Arial"/>
                <w:szCs w:val="20"/>
              </w:rPr>
              <w:t xml:space="preserve">Only males are allowed, owning Harley-Davidson bikes or other motorcycles of American decent. </w:t>
            </w:r>
          </w:p>
        </w:tc>
        <w:tc>
          <w:tcPr>
            <w:tcW w:w="2407" w:type="dxa"/>
          </w:tcPr>
          <w:p w14:paraId="4BC9ADAC" w14:textId="77777777" w:rsidR="008B5FA8" w:rsidRDefault="006E0833" w:rsidP="006E0833">
            <w:pPr>
              <w:pStyle w:val="ListParagraph"/>
              <w:numPr>
                <w:ilvl w:val="0"/>
                <w:numId w:val="21"/>
              </w:numPr>
              <w:rPr>
                <w:rFonts w:cs="Arial"/>
                <w:szCs w:val="20"/>
              </w:rPr>
            </w:pPr>
            <w:r>
              <w:rPr>
                <w:rFonts w:cs="Arial"/>
                <w:szCs w:val="20"/>
              </w:rPr>
              <w:t>All members must be white and male, no exception regarding to ethnicity.</w:t>
            </w:r>
          </w:p>
          <w:p w14:paraId="734D0378" w14:textId="3E9760BA" w:rsidR="006E0833" w:rsidRPr="006E0833" w:rsidRDefault="006E0833" w:rsidP="006E0833">
            <w:pPr>
              <w:pStyle w:val="ListParagraph"/>
              <w:numPr>
                <w:ilvl w:val="0"/>
                <w:numId w:val="21"/>
              </w:numPr>
              <w:rPr>
                <w:rFonts w:cs="Arial"/>
                <w:szCs w:val="20"/>
              </w:rPr>
            </w:pPr>
            <w:r>
              <w:rPr>
                <w:rFonts w:cs="Arial"/>
                <w:szCs w:val="20"/>
              </w:rPr>
              <w:t>Members must owned large displacement Harley-Davidson motorcycles, and not at any point taken up a law enforcement job.</w:t>
            </w:r>
          </w:p>
        </w:tc>
      </w:tr>
      <w:tr w:rsidR="008B5FA8" w:rsidRPr="00122DC6" w14:paraId="70FDA40D" w14:textId="77777777" w:rsidTr="008038A5">
        <w:trPr>
          <w:trHeight w:val="2008"/>
        </w:trPr>
        <w:tc>
          <w:tcPr>
            <w:tcW w:w="2395" w:type="dxa"/>
          </w:tcPr>
          <w:p w14:paraId="2CE17EEE" w14:textId="13188C35" w:rsidR="008B5FA8" w:rsidRPr="00122DC6" w:rsidRDefault="008B5FA8" w:rsidP="001B7130">
            <w:pPr>
              <w:jc w:val="center"/>
              <w:rPr>
                <w:rFonts w:cs="Arial"/>
                <w:b/>
                <w:szCs w:val="20"/>
              </w:rPr>
            </w:pPr>
            <w:r w:rsidRPr="00122DC6">
              <w:rPr>
                <w:rFonts w:cs="Arial"/>
                <w:b/>
                <w:szCs w:val="20"/>
              </w:rPr>
              <w:t>Colors/Patches/Rituals</w:t>
            </w:r>
          </w:p>
        </w:tc>
        <w:tc>
          <w:tcPr>
            <w:tcW w:w="2033" w:type="dxa"/>
          </w:tcPr>
          <w:p w14:paraId="61CF316C" w14:textId="32CCBDA8" w:rsidR="008B5FA8" w:rsidRPr="008038A5" w:rsidRDefault="008038A5" w:rsidP="008038A5">
            <w:pPr>
              <w:pStyle w:val="ListParagraph"/>
              <w:numPr>
                <w:ilvl w:val="0"/>
                <w:numId w:val="21"/>
              </w:numPr>
              <w:rPr>
                <w:rFonts w:cs="Arial"/>
                <w:szCs w:val="20"/>
              </w:rPr>
            </w:pPr>
            <w:r>
              <w:rPr>
                <w:rFonts w:cs="Arial"/>
                <w:szCs w:val="20"/>
              </w:rPr>
              <w:t>Before gaining full membership, one is often an associate for a year or two, before reclassification as a prospect, upon passing several steps he is patched with two Hells Angels rockers, Death Head and MC patch, all after being unanimously voted.</w:t>
            </w:r>
          </w:p>
        </w:tc>
        <w:tc>
          <w:tcPr>
            <w:tcW w:w="1890" w:type="dxa"/>
          </w:tcPr>
          <w:p w14:paraId="64A7E894" w14:textId="78048619" w:rsidR="008B5FA8" w:rsidRPr="0071337A" w:rsidRDefault="0071337A" w:rsidP="0071337A">
            <w:pPr>
              <w:pStyle w:val="ListParagraph"/>
              <w:numPr>
                <w:ilvl w:val="0"/>
                <w:numId w:val="21"/>
              </w:numPr>
              <w:rPr>
                <w:rFonts w:cs="Arial"/>
                <w:szCs w:val="20"/>
              </w:rPr>
            </w:pPr>
            <w:r>
              <w:rPr>
                <w:rFonts w:cs="Arial"/>
                <w:szCs w:val="20"/>
              </w:rPr>
              <w:t>Pagans patch portray Sutr, the Norse fire giant on the sun, having a sword</w:t>
            </w:r>
            <w:r w:rsidR="00A6255B">
              <w:rPr>
                <w:rFonts w:cs="Arial"/>
                <w:szCs w:val="20"/>
              </w:rPr>
              <w:t xml:space="preserve"> and the word Pagans in white red and blue. Members wear cutoffs, being blue denim tops.</w:t>
            </w:r>
          </w:p>
        </w:tc>
        <w:tc>
          <w:tcPr>
            <w:tcW w:w="1890" w:type="dxa"/>
          </w:tcPr>
          <w:p w14:paraId="189268A2" w14:textId="0F25AF53" w:rsidR="008B5FA8" w:rsidRPr="00727152" w:rsidRDefault="00727152" w:rsidP="00727152">
            <w:pPr>
              <w:pStyle w:val="ListParagraph"/>
              <w:numPr>
                <w:ilvl w:val="0"/>
                <w:numId w:val="21"/>
              </w:numPr>
              <w:rPr>
                <w:rFonts w:cs="Arial"/>
                <w:szCs w:val="20"/>
              </w:rPr>
            </w:pPr>
            <w:r>
              <w:rPr>
                <w:rFonts w:cs="Arial"/>
                <w:szCs w:val="20"/>
              </w:rPr>
              <w:t>Members wear patches on denim vests, written in red letters on a golden background inspired by Marine Corps, patches indicating hierarchy or status earned by criminal activities such as murder. Prior to initiation one must complete the three-stage process of hangaround, prospect and probation.</w:t>
            </w:r>
          </w:p>
        </w:tc>
        <w:tc>
          <w:tcPr>
            <w:tcW w:w="2407" w:type="dxa"/>
          </w:tcPr>
          <w:p w14:paraId="50AF22AC" w14:textId="77777777" w:rsidR="006E0833" w:rsidRDefault="00D42A8E" w:rsidP="006E0833">
            <w:pPr>
              <w:pStyle w:val="ListParagraph"/>
              <w:numPr>
                <w:ilvl w:val="0"/>
                <w:numId w:val="21"/>
              </w:numPr>
              <w:rPr>
                <w:rFonts w:cs="Arial"/>
                <w:szCs w:val="20"/>
              </w:rPr>
            </w:pPr>
            <w:r>
              <w:rPr>
                <w:rFonts w:cs="Arial"/>
                <w:szCs w:val="20"/>
              </w:rPr>
              <w:t xml:space="preserve">Their patch is a skull and crossed pistons that replaced the previous winger motorcycle. </w:t>
            </w:r>
            <w:r w:rsidR="006E0833">
              <w:rPr>
                <w:rFonts w:cs="Arial"/>
                <w:szCs w:val="20"/>
              </w:rPr>
              <w:t>The design bears western style embroidery on black shirts with white piping and Old English style letters.</w:t>
            </w:r>
          </w:p>
          <w:p w14:paraId="43C4D3C9" w14:textId="3B060B19" w:rsidR="002073D0" w:rsidRPr="006E0833" w:rsidRDefault="002073D0" w:rsidP="006E0833">
            <w:pPr>
              <w:pStyle w:val="ListParagraph"/>
              <w:numPr>
                <w:ilvl w:val="0"/>
                <w:numId w:val="21"/>
              </w:numPr>
              <w:rPr>
                <w:rFonts w:cs="Arial"/>
                <w:szCs w:val="20"/>
              </w:rPr>
            </w:pPr>
            <w:r>
              <w:rPr>
                <w:rFonts w:cs="Arial"/>
                <w:szCs w:val="20"/>
              </w:rPr>
              <w:t>Among their rituals include adrenaline rush rides and brotherhood practices, such as assisting each other with mechanical skills</w:t>
            </w:r>
          </w:p>
        </w:tc>
      </w:tr>
    </w:tbl>
    <w:bookmarkEnd w:id="0"/>
    <w:bookmarkEnd w:id="1"/>
    <w:p w14:paraId="7D9080FD" w14:textId="447A235F" w:rsidR="008B5FA8" w:rsidRPr="00122DC6" w:rsidRDefault="008B5FA8" w:rsidP="007559B0">
      <w:pPr>
        <w:spacing w:before="600"/>
      </w:pPr>
      <w:r w:rsidRPr="00122DC6">
        <w:lastRenderedPageBreak/>
        <w:t xml:space="preserve">There is a growing trend toward a nexus or cooperation between organized crime groups and terrorist groups. Terrorist groups may take advantage of the specialized skills of an organized crime group. For example, Hezbollah has established bases in Latin America and has worked with Mexican drug trafficking organizations to smuggle people and launder money to finance terrorism. Sometimes the terrorist group may incorporate organized criminal activity, such as kidnapping for ransom or narcotics trafficking, as a funding mechanism for their terrorist activities. For example, the </w:t>
      </w:r>
      <w:r w:rsidR="00354476">
        <w:t>Al-Qa’ida in the Lands of the Islamic Maghreb (</w:t>
      </w:r>
      <w:r w:rsidRPr="00122DC6">
        <w:t>AQIM</w:t>
      </w:r>
      <w:r w:rsidR="00354476">
        <w:t>)</w:t>
      </w:r>
      <w:r w:rsidRPr="00122DC6">
        <w:t xml:space="preserve"> in Algeria </w:t>
      </w:r>
      <w:r w:rsidR="00D803F9">
        <w:t>used</w:t>
      </w:r>
      <w:r w:rsidR="00D803F9" w:rsidRPr="00122DC6">
        <w:t xml:space="preserve"> </w:t>
      </w:r>
      <w:r w:rsidRPr="00122DC6">
        <w:t>kidnapping for ransom to finance their operations.</w:t>
      </w:r>
    </w:p>
    <w:p w14:paraId="4D720C9D" w14:textId="77777777" w:rsidR="008B5FA8" w:rsidRDefault="008B5FA8" w:rsidP="008B5FA8">
      <w:r w:rsidRPr="00122DC6">
        <w:rPr>
          <w:b/>
        </w:rPr>
        <w:t>Create</w:t>
      </w:r>
      <w:r w:rsidRPr="00122DC6">
        <w:t xml:space="preserve"> a list of the ten most prominent terrorist organizations worldwide and their country of origin or operation.</w:t>
      </w:r>
    </w:p>
    <w:p w14:paraId="78649C04" w14:textId="109EF85E" w:rsidR="007559B0" w:rsidRDefault="00473146" w:rsidP="00473146">
      <w:pPr>
        <w:pStyle w:val="ListParagraph"/>
        <w:numPr>
          <w:ilvl w:val="0"/>
          <w:numId w:val="15"/>
        </w:numPr>
      </w:pPr>
      <w:r>
        <w:t>ISIS. Formed in Iraq and Syria occupying majorly Middle Eastern countries. Their affiliate groups have global influence</w:t>
      </w:r>
      <w:r w:rsidR="007559B0">
        <w:t xml:space="preserve"> </w:t>
      </w:r>
    </w:p>
    <w:p w14:paraId="0B6D4BEE" w14:textId="38BB1CDD" w:rsidR="007559B0" w:rsidRDefault="007559B0" w:rsidP="007559B0">
      <w:pPr>
        <w:pStyle w:val="ListParagraph"/>
        <w:numPr>
          <w:ilvl w:val="0"/>
          <w:numId w:val="15"/>
        </w:numPr>
      </w:pPr>
      <w:r>
        <w:t xml:space="preserve"> </w:t>
      </w:r>
      <w:r w:rsidR="00D85E0E">
        <w:t xml:space="preserve">Al-Qaeda. Founded in Pakistan, and extended operations to Africa, Sudan. </w:t>
      </w:r>
      <w:r>
        <w:t xml:space="preserve"> </w:t>
      </w:r>
      <w:r w:rsidR="00D85E0E">
        <w:t>Significance is on major Islamic influence and strict adherence to Jihad and Sharia laws.</w:t>
      </w:r>
    </w:p>
    <w:p w14:paraId="49B67E3A" w14:textId="7CDC0133" w:rsidR="007559B0" w:rsidRDefault="007559B0" w:rsidP="007559B0">
      <w:pPr>
        <w:pStyle w:val="ListParagraph"/>
        <w:numPr>
          <w:ilvl w:val="0"/>
          <w:numId w:val="15"/>
        </w:numPr>
      </w:pPr>
      <w:r>
        <w:t xml:space="preserve"> </w:t>
      </w:r>
      <w:r w:rsidR="00D85E0E">
        <w:t xml:space="preserve">Taliban. </w:t>
      </w:r>
      <w:r w:rsidR="009C35DC">
        <w:t>They operate and are situated in Kandahar, Afghanistan</w:t>
      </w:r>
    </w:p>
    <w:p w14:paraId="4F78CDBB" w14:textId="31C7BC22" w:rsidR="009C35DC" w:rsidRDefault="007559B0" w:rsidP="009C35DC">
      <w:pPr>
        <w:pStyle w:val="ListParagraph"/>
        <w:numPr>
          <w:ilvl w:val="0"/>
          <w:numId w:val="15"/>
        </w:numPr>
      </w:pPr>
      <w:r>
        <w:t xml:space="preserve"> </w:t>
      </w:r>
      <w:r w:rsidR="009C35DC">
        <w:t>Boko Haram. Bearing notoriety in West Africa, they bear relevance also to the Islamic State, Iraq and Syria.</w:t>
      </w:r>
    </w:p>
    <w:p w14:paraId="3A0F8C06" w14:textId="0E1830C0" w:rsidR="007559B0" w:rsidRDefault="007559B0" w:rsidP="007559B0">
      <w:pPr>
        <w:pStyle w:val="ListParagraph"/>
        <w:numPr>
          <w:ilvl w:val="0"/>
          <w:numId w:val="15"/>
        </w:numPr>
      </w:pPr>
      <w:r>
        <w:t xml:space="preserve"> </w:t>
      </w:r>
      <w:r w:rsidR="009C35DC">
        <w:t>Hezbollah. Formed in Lebanon and operate in Lebanon. Establishes by Muslim clerics</w:t>
      </w:r>
    </w:p>
    <w:p w14:paraId="7C06958A" w14:textId="1C80E788" w:rsidR="007559B0" w:rsidRDefault="009C35DC" w:rsidP="007559B0">
      <w:pPr>
        <w:pStyle w:val="ListParagraph"/>
        <w:numPr>
          <w:ilvl w:val="0"/>
          <w:numId w:val="15"/>
        </w:numPr>
      </w:pPr>
      <w:r>
        <w:t>Al-Shabaab. Based in Somalia, operating throughout Uganda and Kenya.</w:t>
      </w:r>
      <w:r w:rsidR="007559B0">
        <w:t xml:space="preserve"> </w:t>
      </w:r>
    </w:p>
    <w:p w14:paraId="5E27F598" w14:textId="482F1D83" w:rsidR="007559B0" w:rsidRDefault="007559B0" w:rsidP="007559B0">
      <w:pPr>
        <w:pStyle w:val="ListParagraph"/>
        <w:numPr>
          <w:ilvl w:val="0"/>
          <w:numId w:val="15"/>
        </w:numPr>
      </w:pPr>
      <w:r>
        <w:t xml:space="preserve"> </w:t>
      </w:r>
      <w:r w:rsidR="009C35DC">
        <w:t>Lashkar-e-Tayyiba (LT). Occupy regions of India, Pakistan and are expanding their in South-East Asia.</w:t>
      </w:r>
    </w:p>
    <w:p w14:paraId="7E1A9216" w14:textId="703BEE5B" w:rsidR="007559B0" w:rsidRDefault="009C35DC" w:rsidP="007559B0">
      <w:pPr>
        <w:pStyle w:val="ListParagraph"/>
        <w:numPr>
          <w:ilvl w:val="0"/>
          <w:numId w:val="15"/>
        </w:numPr>
      </w:pPr>
      <w:r>
        <w:t xml:space="preserve">Tehrik-i-Taliban Pakistan (TTP). </w:t>
      </w:r>
      <w:r w:rsidR="005B7C91">
        <w:t>Situated and operate along the Afghanistan-Pakistan border.</w:t>
      </w:r>
    </w:p>
    <w:p w14:paraId="700AFA94" w14:textId="54DEF2DD" w:rsidR="005B7C91" w:rsidRDefault="005B7C91" w:rsidP="007559B0">
      <w:pPr>
        <w:pStyle w:val="ListParagraph"/>
        <w:numPr>
          <w:ilvl w:val="0"/>
          <w:numId w:val="15"/>
        </w:numPr>
      </w:pPr>
      <w:r>
        <w:t>FARC. Formed and operates in Colombia.</w:t>
      </w:r>
    </w:p>
    <w:p w14:paraId="78EDC657" w14:textId="01544167" w:rsidR="005B7C91" w:rsidRDefault="005B7C91" w:rsidP="007559B0">
      <w:pPr>
        <w:pStyle w:val="ListParagraph"/>
        <w:numPr>
          <w:ilvl w:val="0"/>
          <w:numId w:val="15"/>
        </w:numPr>
      </w:pPr>
      <w:r>
        <w:t>Lord’s Resistance Army (LRA). Operation is throughout Democratic Republic of Congo, Uganda, Central African Republic and Southern Sudan partially. Also considered a cult.</w:t>
      </w:r>
    </w:p>
    <w:p w14:paraId="3E090F01" w14:textId="23B5E9AC" w:rsidR="008B5FA8" w:rsidRPr="00122DC6" w:rsidRDefault="008B5FA8" w:rsidP="008B5FA8">
      <w:pPr>
        <w:rPr>
          <w:szCs w:val="20"/>
        </w:rPr>
      </w:pPr>
      <w:r w:rsidRPr="00122DC6">
        <w:rPr>
          <w:b/>
          <w:szCs w:val="20"/>
        </w:rPr>
        <w:t>Choose</w:t>
      </w:r>
      <w:r w:rsidRPr="00122DC6">
        <w:rPr>
          <w:szCs w:val="20"/>
        </w:rPr>
        <w:t xml:space="preserve"> one group from your list above and </w:t>
      </w:r>
      <w:r w:rsidRPr="00122DC6">
        <w:rPr>
          <w:b/>
          <w:szCs w:val="20"/>
        </w:rPr>
        <w:t>write</w:t>
      </w:r>
      <w:r w:rsidRPr="00122DC6">
        <w:rPr>
          <w:szCs w:val="20"/>
        </w:rPr>
        <w:t xml:space="preserve"> a </w:t>
      </w:r>
      <w:r>
        <w:rPr>
          <w:szCs w:val="20"/>
        </w:rPr>
        <w:t>350</w:t>
      </w:r>
      <w:r w:rsidRPr="00122DC6">
        <w:rPr>
          <w:szCs w:val="20"/>
        </w:rPr>
        <w:t xml:space="preserve">- to </w:t>
      </w:r>
      <w:r>
        <w:rPr>
          <w:szCs w:val="20"/>
        </w:rPr>
        <w:t>525</w:t>
      </w:r>
      <w:r w:rsidR="00EB28FB">
        <w:rPr>
          <w:szCs w:val="20"/>
        </w:rPr>
        <w:t>-</w:t>
      </w:r>
      <w:r w:rsidRPr="00122DC6">
        <w:rPr>
          <w:szCs w:val="20"/>
        </w:rPr>
        <w:t>word essay below in which you explore the political, social, and financial motivations of this group. In funding its operations</w:t>
      </w:r>
      <w:r w:rsidR="00EB28FB">
        <w:rPr>
          <w:szCs w:val="20"/>
        </w:rPr>
        <w:t>,</w:t>
      </w:r>
      <w:r w:rsidRPr="00122DC6">
        <w:rPr>
          <w:szCs w:val="20"/>
        </w:rPr>
        <w:t xml:space="preserve"> does this group incorporate the services of other terrorist groups or organized crime groups? Does this group employ tactics or strategies in its fund</w:t>
      </w:r>
      <w:r w:rsidR="00EB28FB">
        <w:rPr>
          <w:szCs w:val="20"/>
        </w:rPr>
        <w:t>-</w:t>
      </w:r>
      <w:r w:rsidRPr="00122DC6">
        <w:rPr>
          <w:szCs w:val="20"/>
        </w:rPr>
        <w:t>raising that include organized criminal activity? Explain your answer</w:t>
      </w:r>
      <w:r w:rsidR="00EB28FB">
        <w:rPr>
          <w:szCs w:val="20"/>
        </w:rPr>
        <w:t>.</w:t>
      </w:r>
    </w:p>
    <w:p w14:paraId="709EDED9" w14:textId="14D23524" w:rsidR="008B5FA8" w:rsidRPr="00122DC6" w:rsidRDefault="008B5FA8" w:rsidP="00354476">
      <w:pPr>
        <w:spacing w:after="600"/>
        <w:rPr>
          <w:b/>
          <w:szCs w:val="20"/>
        </w:rPr>
      </w:pPr>
      <w:r w:rsidRPr="00122DC6">
        <w:rPr>
          <w:b/>
          <w:szCs w:val="20"/>
        </w:rPr>
        <w:t xml:space="preserve">Essay </w:t>
      </w:r>
      <w:r w:rsidR="00A812D8">
        <w:rPr>
          <w:b/>
          <w:szCs w:val="20"/>
        </w:rPr>
        <w:t>r</w:t>
      </w:r>
      <w:r w:rsidRPr="00122DC6">
        <w:rPr>
          <w:b/>
          <w:szCs w:val="20"/>
        </w:rPr>
        <w:t>esponse:</w:t>
      </w:r>
    </w:p>
    <w:p w14:paraId="239A676A" w14:textId="77777777" w:rsidR="007559B0" w:rsidRPr="00122DC6" w:rsidRDefault="007559B0" w:rsidP="00354476">
      <w:pPr>
        <w:pStyle w:val="Heading3"/>
      </w:pPr>
      <w:r w:rsidRPr="00122DC6">
        <w:t>Section 3: Cyber Terrorism</w:t>
      </w:r>
    </w:p>
    <w:p w14:paraId="30644031" w14:textId="5B4C1BFD" w:rsidR="007559B0" w:rsidRPr="007559B0" w:rsidRDefault="007559B0" w:rsidP="007559B0">
      <w:r w:rsidRPr="00122DC6">
        <w:rPr>
          <w:shd w:val="clear" w:color="auto" w:fill="FFFFFF"/>
        </w:rPr>
        <w:t xml:space="preserve">Cyberterrorism could be a critical threat to national security and public policy. </w:t>
      </w:r>
      <w:r w:rsidRPr="00122DC6">
        <w:t xml:space="preserve">Cyberterrorism is </w:t>
      </w:r>
      <w:r w:rsidRPr="00122DC6">
        <w:rPr>
          <w:shd w:val="clear" w:color="auto" w:fill="FFFFFF"/>
        </w:rPr>
        <w:t>the use of technology to bring about political, religious, or ideological goals by actions that result in disabling or deleting critical infrastructure data or information. Cyberterrorism is different from cybercrime</w:t>
      </w:r>
      <w:r w:rsidR="00EB28FB">
        <w:rPr>
          <w:shd w:val="clear" w:color="auto" w:fill="FFFFFF"/>
        </w:rPr>
        <w:t>,</w:t>
      </w:r>
      <w:r w:rsidRPr="00122DC6">
        <w:rPr>
          <w:shd w:val="clear" w:color="auto" w:fill="FFFFFF"/>
        </w:rPr>
        <w:t xml:space="preserve"> such as identity theft or fraud</w:t>
      </w:r>
      <w:r w:rsidR="00EB28FB">
        <w:rPr>
          <w:shd w:val="clear" w:color="auto" w:fill="FFFFFF"/>
        </w:rPr>
        <w:t>,</w:t>
      </w:r>
      <w:r w:rsidRPr="00122DC6">
        <w:rPr>
          <w:shd w:val="clear" w:color="auto" w:fill="FFFFFF"/>
        </w:rPr>
        <w:t xml:space="preserve"> because it is designed to attack and impact society or a city or nation and not just an individual. Cyberterrorism often involves lone wolf incidents rather than the work of an organized terrorist organization. </w:t>
      </w:r>
      <w:r w:rsidR="00A812D8">
        <w:rPr>
          <w:shd w:val="clear" w:color="auto" w:fill="FFFFFF"/>
        </w:rPr>
        <w:t>(</w:t>
      </w:r>
      <w:r w:rsidRPr="00122DC6">
        <w:rPr>
          <w:color w:val="333333"/>
        </w:rPr>
        <w:t>“Cyber Terror</w:t>
      </w:r>
      <w:r w:rsidR="00A812D8">
        <w:rPr>
          <w:color w:val="333333"/>
        </w:rPr>
        <w:t>.</w:t>
      </w:r>
      <w:r w:rsidRPr="00122DC6">
        <w:rPr>
          <w:color w:val="333333"/>
        </w:rPr>
        <w:t>” William Tafoya. November 1, 2011. FBI.gov.</w:t>
      </w:r>
      <w:r w:rsidR="00A812D8">
        <w:rPr>
          <w:color w:val="333333"/>
        </w:rPr>
        <w:t>)</w:t>
      </w:r>
    </w:p>
    <w:p w14:paraId="33444BEA" w14:textId="2F6113AA" w:rsidR="007559B0" w:rsidRPr="00122DC6" w:rsidRDefault="007559B0" w:rsidP="007559B0">
      <w:r w:rsidRPr="00122DC6">
        <w:rPr>
          <w:b/>
        </w:rPr>
        <w:t>Write</w:t>
      </w:r>
      <w:r w:rsidRPr="00122DC6">
        <w:t xml:space="preserve"> a </w:t>
      </w:r>
      <w:r>
        <w:t>350</w:t>
      </w:r>
      <w:r w:rsidRPr="00122DC6">
        <w:t xml:space="preserve">- to </w:t>
      </w:r>
      <w:r>
        <w:t>525</w:t>
      </w:r>
      <w:r w:rsidR="00A812D8">
        <w:t>-</w:t>
      </w:r>
      <w:r w:rsidRPr="00122DC6">
        <w:t>word essay below in which you discuss at least one previous cyberterroris</w:t>
      </w:r>
      <w:r w:rsidR="00A812D8">
        <w:t>m</w:t>
      </w:r>
      <w:r w:rsidRPr="00122DC6">
        <w:t xml:space="preserve"> attack and hypothesize on the future of such attacks. Where do vulnerabilities lie in the infrastructure of the United States that may create opportunities for cyberterrorists? What technological tools could terrorists </w:t>
      </w:r>
      <w:r w:rsidR="00A812D8">
        <w:t>use</w:t>
      </w:r>
      <w:r w:rsidR="00A812D8" w:rsidRPr="00122DC6">
        <w:t xml:space="preserve"> </w:t>
      </w:r>
      <w:r w:rsidRPr="00122DC6">
        <w:t xml:space="preserve">for future attacks? How can the </w:t>
      </w:r>
      <w:r w:rsidR="00A812D8">
        <w:t xml:space="preserve">U.S. </w:t>
      </w:r>
      <w:r w:rsidRPr="00122DC6">
        <w:t>government reduce the risk for such attacks? Explain your answer.</w:t>
      </w:r>
    </w:p>
    <w:p w14:paraId="6F070A22" w14:textId="3A3C1D27" w:rsidR="008B5FA8" w:rsidRDefault="007559B0" w:rsidP="008B5FA8">
      <w:r w:rsidRPr="00122DC6">
        <w:rPr>
          <w:b/>
        </w:rPr>
        <w:t xml:space="preserve">Essay </w:t>
      </w:r>
      <w:r w:rsidR="00A812D8">
        <w:rPr>
          <w:b/>
        </w:rPr>
        <w:t>r</w:t>
      </w:r>
      <w:r w:rsidRPr="00122DC6">
        <w:rPr>
          <w:b/>
        </w:rPr>
        <w:t>esponse:</w:t>
      </w:r>
    </w:p>
    <w:sectPr w:rsidR="008B5FA8" w:rsidSect="00776416">
      <w:headerReference w:type="default" r:id="rId14"/>
      <w:footerReference w:type="default" r:id="rId15"/>
      <w:headerReference w:type="first" r:id="rId16"/>
      <w:footerReference w:type="first" r:id="rId17"/>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0C7CF" w14:textId="77777777" w:rsidR="00EA48A7" w:rsidRDefault="00EA48A7" w:rsidP="000F0903">
      <w:pPr>
        <w:spacing w:after="0"/>
      </w:pPr>
      <w:r>
        <w:separator/>
      </w:r>
    </w:p>
  </w:endnote>
  <w:endnote w:type="continuationSeparator" w:id="0">
    <w:p w14:paraId="699E68E2" w14:textId="77777777" w:rsidR="00EA48A7" w:rsidRDefault="00EA48A7" w:rsidP="000F0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altName w:val="Times New Roman"/>
    <w:charset w:val="00"/>
    <w:family w:val="auto"/>
    <w:pitch w:val="variable"/>
    <w:sig w:usb0="E00002FF"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5829C" w14:textId="6A30B322" w:rsidR="00654497" w:rsidRPr="00654497" w:rsidRDefault="00A812D8" w:rsidP="00654497">
    <w:pPr>
      <w:pStyle w:val="Footer"/>
      <w:jc w:val="center"/>
      <w:rPr>
        <w:sz w:val="16"/>
        <w:szCs w:val="16"/>
      </w:rPr>
    </w:pPr>
    <w:r>
      <w:rPr>
        <w:sz w:val="16"/>
        <w:szCs w:val="16"/>
      </w:rPr>
      <w:t>Copyright© 2018</w:t>
    </w:r>
    <w:r w:rsidR="00654497">
      <w:rPr>
        <w:sz w:val="16"/>
        <w:szCs w:val="16"/>
      </w:rPr>
      <w:t xml:space="preserve"> by University of Phoenix.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D8DAB" w14:textId="345E744C" w:rsidR="00935086" w:rsidRPr="00935086" w:rsidRDefault="008B5FA8" w:rsidP="00935086">
    <w:pPr>
      <w:pStyle w:val="Footer"/>
      <w:jc w:val="center"/>
      <w:rPr>
        <w:sz w:val="16"/>
        <w:szCs w:val="16"/>
      </w:rPr>
    </w:pPr>
    <w:r>
      <w:rPr>
        <w:sz w:val="16"/>
        <w:szCs w:val="16"/>
      </w:rPr>
      <w:t>Copyright© 2018</w:t>
    </w:r>
    <w:r w:rsidR="00935086">
      <w:rPr>
        <w:sz w:val="16"/>
        <w:szCs w:val="16"/>
      </w:rPr>
      <w:t xml:space="preserve"> by University of Phoenix.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47A60" w14:textId="77777777" w:rsidR="00EA48A7" w:rsidRDefault="00EA48A7" w:rsidP="000F0903">
      <w:pPr>
        <w:spacing w:after="0"/>
      </w:pPr>
      <w:r>
        <w:separator/>
      </w:r>
    </w:p>
  </w:footnote>
  <w:footnote w:type="continuationSeparator" w:id="0">
    <w:p w14:paraId="68111C93" w14:textId="77777777" w:rsidR="00EA48A7" w:rsidRDefault="00EA48A7" w:rsidP="000F09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B23B8" w14:textId="21FF327B" w:rsidR="0013181E" w:rsidRDefault="008B5FA8" w:rsidP="008B5FA8">
    <w:pPr>
      <w:spacing w:after="0"/>
      <w:ind w:left="6840"/>
      <w:jc w:val="right"/>
    </w:pPr>
    <w:r>
      <w:t>Exploring Organized Crime</w:t>
    </w:r>
  </w:p>
  <w:p w14:paraId="63761A17" w14:textId="437FE972" w:rsidR="0013181E" w:rsidRDefault="008B5FA8" w:rsidP="00654497">
    <w:pPr>
      <w:spacing w:after="0"/>
      <w:ind w:left="8190"/>
      <w:jc w:val="right"/>
    </w:pPr>
    <w:r>
      <w:t>CJA/325</w:t>
    </w:r>
    <w:r w:rsidR="0013181E">
      <w:t xml:space="preserve"> v</w:t>
    </w:r>
    <w:r>
      <w:t>3</w:t>
    </w:r>
  </w:p>
  <w:p w14:paraId="4160ED49" w14:textId="49A0D4DC" w:rsidR="00654497" w:rsidRPr="00654497" w:rsidRDefault="00654497" w:rsidP="00654497">
    <w:pPr>
      <w:spacing w:after="0"/>
      <w:ind w:left="8190"/>
      <w:jc w:val="right"/>
    </w:pPr>
    <w:r w:rsidRPr="00654497">
      <w:t xml:space="preserve">Page </w:t>
    </w:r>
    <w:r w:rsidRPr="00654497">
      <w:rPr>
        <w:bCs/>
      </w:rPr>
      <w:fldChar w:fldCharType="begin"/>
    </w:r>
    <w:r w:rsidRPr="00654497">
      <w:rPr>
        <w:bCs/>
      </w:rPr>
      <w:instrText xml:space="preserve"> PAGE  \* Arabic  \* MERGEFORMAT </w:instrText>
    </w:r>
    <w:r w:rsidRPr="00654497">
      <w:rPr>
        <w:bCs/>
      </w:rPr>
      <w:fldChar w:fldCharType="separate"/>
    </w:r>
    <w:r w:rsidR="00995107">
      <w:rPr>
        <w:bCs/>
        <w:noProof/>
      </w:rPr>
      <w:t>2</w:t>
    </w:r>
    <w:r w:rsidRPr="00654497">
      <w:rPr>
        <w:bCs/>
      </w:rPr>
      <w:fldChar w:fldCharType="end"/>
    </w:r>
    <w:r w:rsidRPr="00654497">
      <w:t xml:space="preserve"> of </w:t>
    </w:r>
    <w:r w:rsidRPr="00654497">
      <w:rPr>
        <w:bCs/>
      </w:rPr>
      <w:fldChar w:fldCharType="begin"/>
    </w:r>
    <w:r w:rsidRPr="00654497">
      <w:rPr>
        <w:bCs/>
      </w:rPr>
      <w:instrText xml:space="preserve"> NUMPAGES  \* Arabic  \* MERGEFORMAT </w:instrText>
    </w:r>
    <w:r w:rsidRPr="00654497">
      <w:rPr>
        <w:bCs/>
      </w:rPr>
      <w:fldChar w:fldCharType="separate"/>
    </w:r>
    <w:r w:rsidR="00995107">
      <w:rPr>
        <w:bCs/>
        <w:noProof/>
      </w:rPr>
      <w:t>3</w:t>
    </w:r>
    <w:r w:rsidRPr="00654497">
      <w:rP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BC50" w14:textId="6C3536C4" w:rsidR="00935086" w:rsidRPr="00776416" w:rsidRDefault="008B5FA8" w:rsidP="00776416">
    <w:pPr>
      <w:spacing w:after="0"/>
      <w:ind w:left="8100"/>
      <w:jc w:val="right"/>
    </w:pPr>
    <w:r>
      <w:t>CJA/325</w:t>
    </w:r>
    <w:r w:rsidR="00776416" w:rsidRPr="00776416">
      <w:t xml:space="preserve"> v</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E6D"/>
    <w:multiLevelType w:val="hybridMultilevel"/>
    <w:tmpl w:val="9370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747A"/>
    <w:multiLevelType w:val="hybridMultilevel"/>
    <w:tmpl w:val="A856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E53F0"/>
    <w:multiLevelType w:val="hybridMultilevel"/>
    <w:tmpl w:val="58AE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D712FD"/>
    <w:multiLevelType w:val="hybridMultilevel"/>
    <w:tmpl w:val="6148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33E18"/>
    <w:multiLevelType w:val="hybridMultilevel"/>
    <w:tmpl w:val="A86A7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12E24"/>
    <w:multiLevelType w:val="hybridMultilevel"/>
    <w:tmpl w:val="88E6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F389B"/>
    <w:multiLevelType w:val="hybridMultilevel"/>
    <w:tmpl w:val="A818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B6535"/>
    <w:multiLevelType w:val="hybridMultilevel"/>
    <w:tmpl w:val="2796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A57EFA"/>
    <w:multiLevelType w:val="hybridMultilevel"/>
    <w:tmpl w:val="6786E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F20EA4"/>
    <w:multiLevelType w:val="hybridMultilevel"/>
    <w:tmpl w:val="BE84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0B56B2"/>
    <w:multiLevelType w:val="hybridMultilevel"/>
    <w:tmpl w:val="4326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E13CA"/>
    <w:multiLevelType w:val="hybridMultilevel"/>
    <w:tmpl w:val="8204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553CA"/>
    <w:multiLevelType w:val="hybridMultilevel"/>
    <w:tmpl w:val="453A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C1C96"/>
    <w:multiLevelType w:val="hybridMultilevel"/>
    <w:tmpl w:val="D6E4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D06D3"/>
    <w:multiLevelType w:val="hybridMultilevel"/>
    <w:tmpl w:val="1A5C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A4948"/>
    <w:multiLevelType w:val="hybridMultilevel"/>
    <w:tmpl w:val="0E5A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878F0"/>
    <w:multiLevelType w:val="hybridMultilevel"/>
    <w:tmpl w:val="A998E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5775386"/>
    <w:multiLevelType w:val="hybridMultilevel"/>
    <w:tmpl w:val="0D6A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B3D11"/>
    <w:multiLevelType w:val="hybridMultilevel"/>
    <w:tmpl w:val="DB44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DB17DE"/>
    <w:multiLevelType w:val="hybridMultilevel"/>
    <w:tmpl w:val="CB00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21"/>
  </w:num>
  <w:num w:numId="4">
    <w:abstractNumId w:val="9"/>
  </w:num>
  <w:num w:numId="5">
    <w:abstractNumId w:val="11"/>
  </w:num>
  <w:num w:numId="6">
    <w:abstractNumId w:val="3"/>
  </w:num>
  <w:num w:numId="7">
    <w:abstractNumId w:val="18"/>
  </w:num>
  <w:num w:numId="8">
    <w:abstractNumId w:val="6"/>
  </w:num>
  <w:num w:numId="9">
    <w:abstractNumId w:val="22"/>
  </w:num>
  <w:num w:numId="10">
    <w:abstractNumId w:val="4"/>
  </w:num>
  <w:num w:numId="11">
    <w:abstractNumId w:val="16"/>
  </w:num>
  <w:num w:numId="12">
    <w:abstractNumId w:val="7"/>
  </w:num>
  <w:num w:numId="13">
    <w:abstractNumId w:val="10"/>
  </w:num>
  <w:num w:numId="14">
    <w:abstractNumId w:val="0"/>
  </w:num>
  <w:num w:numId="15">
    <w:abstractNumId w:val="5"/>
  </w:num>
  <w:num w:numId="16">
    <w:abstractNumId w:val="12"/>
  </w:num>
  <w:num w:numId="17">
    <w:abstractNumId w:val="13"/>
  </w:num>
  <w:num w:numId="18">
    <w:abstractNumId w:val="15"/>
  </w:num>
  <w:num w:numId="19">
    <w:abstractNumId w:val="14"/>
  </w:num>
  <w:num w:numId="20">
    <w:abstractNumId w:val="1"/>
  </w:num>
  <w:num w:numId="21">
    <w:abstractNumId w:val="2"/>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3MTIwNzI1Mzc0M7JU0lEKTi0uzszPAykwNKgFAKpcjr0tAAAA"/>
  </w:docVars>
  <w:rsids>
    <w:rsidRoot w:val="00B7574F"/>
    <w:rsid w:val="000C0803"/>
    <w:rsid w:val="000C2C6A"/>
    <w:rsid w:val="000D2169"/>
    <w:rsid w:val="000F0903"/>
    <w:rsid w:val="001126B2"/>
    <w:rsid w:val="0013181E"/>
    <w:rsid w:val="00147060"/>
    <w:rsid w:val="001602BB"/>
    <w:rsid w:val="001A1E8C"/>
    <w:rsid w:val="00201214"/>
    <w:rsid w:val="002073D0"/>
    <w:rsid w:val="00207997"/>
    <w:rsid w:val="00224434"/>
    <w:rsid w:val="00270C10"/>
    <w:rsid w:val="002A243C"/>
    <w:rsid w:val="0033144D"/>
    <w:rsid w:val="003328DD"/>
    <w:rsid w:val="00354476"/>
    <w:rsid w:val="00403299"/>
    <w:rsid w:val="00427F4C"/>
    <w:rsid w:val="004500DE"/>
    <w:rsid w:val="00473146"/>
    <w:rsid w:val="005002EC"/>
    <w:rsid w:val="00532293"/>
    <w:rsid w:val="005702EF"/>
    <w:rsid w:val="005B7C91"/>
    <w:rsid w:val="005F5BC8"/>
    <w:rsid w:val="00654497"/>
    <w:rsid w:val="0066315B"/>
    <w:rsid w:val="006E0833"/>
    <w:rsid w:val="0071337A"/>
    <w:rsid w:val="00727152"/>
    <w:rsid w:val="007559B0"/>
    <w:rsid w:val="00776416"/>
    <w:rsid w:val="007A0EAB"/>
    <w:rsid w:val="008038A5"/>
    <w:rsid w:val="008B5FA8"/>
    <w:rsid w:val="00935086"/>
    <w:rsid w:val="00935F80"/>
    <w:rsid w:val="0094409D"/>
    <w:rsid w:val="00995107"/>
    <w:rsid w:val="009C241D"/>
    <w:rsid w:val="009C35DC"/>
    <w:rsid w:val="009C48ED"/>
    <w:rsid w:val="009E0D9C"/>
    <w:rsid w:val="00A03896"/>
    <w:rsid w:val="00A0741B"/>
    <w:rsid w:val="00A14190"/>
    <w:rsid w:val="00A621B0"/>
    <w:rsid w:val="00A6255B"/>
    <w:rsid w:val="00A812D8"/>
    <w:rsid w:val="00B1207F"/>
    <w:rsid w:val="00B3325E"/>
    <w:rsid w:val="00B7574F"/>
    <w:rsid w:val="00BA6599"/>
    <w:rsid w:val="00C032FD"/>
    <w:rsid w:val="00C51444"/>
    <w:rsid w:val="00C610B2"/>
    <w:rsid w:val="00CC6145"/>
    <w:rsid w:val="00D2123C"/>
    <w:rsid w:val="00D42A8E"/>
    <w:rsid w:val="00D803F9"/>
    <w:rsid w:val="00D85E0E"/>
    <w:rsid w:val="00DA2EA0"/>
    <w:rsid w:val="00DE1A94"/>
    <w:rsid w:val="00DF4142"/>
    <w:rsid w:val="00E65CEA"/>
    <w:rsid w:val="00E75DC4"/>
    <w:rsid w:val="00E810A4"/>
    <w:rsid w:val="00EA48A7"/>
    <w:rsid w:val="00EB28FB"/>
    <w:rsid w:val="00EB69BD"/>
    <w:rsid w:val="00ED01FB"/>
    <w:rsid w:val="00F7576F"/>
    <w:rsid w:val="26788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3896"/>
    <w:pPr>
      <w:spacing w:before="84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3896"/>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40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D"/>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DF4142"/>
    <w:rPr>
      <w:sz w:val="16"/>
      <w:szCs w:val="16"/>
    </w:rPr>
  </w:style>
  <w:style w:type="paragraph" w:styleId="CommentText">
    <w:name w:val="annotation text"/>
    <w:basedOn w:val="Normal"/>
    <w:link w:val="CommentTextChar"/>
    <w:uiPriority w:val="99"/>
    <w:semiHidden/>
    <w:unhideWhenUsed/>
    <w:rsid w:val="00DF4142"/>
    <w:rPr>
      <w:szCs w:val="20"/>
    </w:rPr>
  </w:style>
  <w:style w:type="character" w:customStyle="1" w:styleId="CommentTextChar">
    <w:name w:val="Comment Text Char"/>
    <w:basedOn w:val="DefaultParagraphFont"/>
    <w:link w:val="CommentText"/>
    <w:uiPriority w:val="99"/>
    <w:semiHidden/>
    <w:rsid w:val="00DF4142"/>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DF4142"/>
    <w:rPr>
      <w:b/>
      <w:bCs/>
    </w:rPr>
  </w:style>
  <w:style w:type="character" w:customStyle="1" w:styleId="CommentSubjectChar">
    <w:name w:val="Comment Subject Char"/>
    <w:basedOn w:val="CommentTextChar"/>
    <w:link w:val="CommentSubject"/>
    <w:uiPriority w:val="99"/>
    <w:semiHidden/>
    <w:rsid w:val="00DF4142"/>
    <w:rPr>
      <w:rFonts w:ascii="Arial" w:hAnsi="Arial"/>
      <w:b/>
      <w:bCs/>
      <w:color w:val="4D3733" w:themeColor="background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A03896"/>
    <w:pPr>
      <w:spacing w:before="840"/>
    </w:pPr>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A03896"/>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40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D"/>
    <w:rPr>
      <w:rFonts w:ascii="Segoe UI" w:hAnsi="Segoe UI" w:cs="Segoe UI"/>
      <w:color w:val="4D3733" w:themeColor="background1"/>
      <w:sz w:val="18"/>
      <w:szCs w:val="18"/>
    </w:rPr>
  </w:style>
  <w:style w:type="character" w:styleId="CommentReference">
    <w:name w:val="annotation reference"/>
    <w:basedOn w:val="DefaultParagraphFont"/>
    <w:uiPriority w:val="99"/>
    <w:semiHidden/>
    <w:unhideWhenUsed/>
    <w:rsid w:val="00DF4142"/>
    <w:rPr>
      <w:sz w:val="16"/>
      <w:szCs w:val="16"/>
    </w:rPr>
  </w:style>
  <w:style w:type="paragraph" w:styleId="CommentText">
    <w:name w:val="annotation text"/>
    <w:basedOn w:val="Normal"/>
    <w:link w:val="CommentTextChar"/>
    <w:uiPriority w:val="99"/>
    <w:semiHidden/>
    <w:unhideWhenUsed/>
    <w:rsid w:val="00DF4142"/>
    <w:rPr>
      <w:szCs w:val="20"/>
    </w:rPr>
  </w:style>
  <w:style w:type="character" w:customStyle="1" w:styleId="CommentTextChar">
    <w:name w:val="Comment Text Char"/>
    <w:basedOn w:val="DefaultParagraphFont"/>
    <w:link w:val="CommentText"/>
    <w:uiPriority w:val="99"/>
    <w:semiHidden/>
    <w:rsid w:val="00DF4142"/>
    <w:rPr>
      <w:rFonts w:ascii="Arial" w:hAnsi="Arial"/>
      <w:color w:val="4D3733" w:themeColor="background1"/>
      <w:sz w:val="20"/>
      <w:szCs w:val="20"/>
    </w:rPr>
  </w:style>
  <w:style w:type="paragraph" w:styleId="CommentSubject">
    <w:name w:val="annotation subject"/>
    <w:basedOn w:val="CommentText"/>
    <w:next w:val="CommentText"/>
    <w:link w:val="CommentSubjectChar"/>
    <w:uiPriority w:val="99"/>
    <w:semiHidden/>
    <w:unhideWhenUsed/>
    <w:rsid w:val="00DF4142"/>
    <w:rPr>
      <w:b/>
      <w:bCs/>
    </w:rPr>
  </w:style>
  <w:style w:type="character" w:customStyle="1" w:styleId="CommentSubjectChar">
    <w:name w:val="Comment Subject Char"/>
    <w:basedOn w:val="CommentTextChar"/>
    <w:link w:val="CommentSubject"/>
    <w:uiPriority w:val="99"/>
    <w:semiHidden/>
    <w:rsid w:val="00DF4142"/>
    <w:rPr>
      <w:rFonts w:ascii="Arial" w:hAnsi="Arial"/>
      <w:b/>
      <w:bCs/>
      <w:color w:val="4D3733"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0" ma:contentTypeDescription="Create a new document." ma:contentTypeScope="" ma:versionID="b7f69c9138e3042e45296faf7ff04e63">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c0d88f039b040f7f5d618a0ba4dff914"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E9105897-A27D-4E09-9B30-42DCBCCB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F6017-F3A4-4313-B66B-E5AA2E93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cp:lastModifiedBy>galvin mboya</cp:lastModifiedBy>
  <cp:revision>2</cp:revision>
  <dcterms:created xsi:type="dcterms:W3CDTF">2021-05-30T12:42:00Z</dcterms:created>
  <dcterms:modified xsi:type="dcterms:W3CDTF">2021-05-30T12:42:00Z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